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EF5" w:rsidRDefault="0045216D" w:rsidP="00A06EF5">
      <w:pPr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Calibri" w:hAnsi="Arial" w:cs="Arial"/>
          <w:b/>
          <w:sz w:val="24"/>
          <w:szCs w:val="24"/>
          <w:lang w:eastAsia="ru-RU"/>
        </w:rPr>
        <w:t>Сводка замечаний и предложений</w:t>
      </w:r>
      <w:r w:rsidR="00DB58F6" w:rsidRPr="006B4F42">
        <w:rPr>
          <w:rFonts w:ascii="Arial" w:eastAsia="Calibri" w:hAnsi="Arial" w:cs="Arial"/>
          <w:b/>
          <w:sz w:val="24"/>
          <w:szCs w:val="24"/>
          <w:lang w:eastAsia="ru-RU"/>
        </w:rPr>
        <w:t xml:space="preserve"> на </w:t>
      </w:r>
      <w:r w:rsidR="00A06EF5" w:rsidRPr="006B4F42">
        <w:rPr>
          <w:rFonts w:ascii="Arial" w:eastAsia="Calibri" w:hAnsi="Arial" w:cs="Arial"/>
          <w:b/>
          <w:sz w:val="24"/>
          <w:szCs w:val="24"/>
          <w:lang w:eastAsia="ru-RU"/>
        </w:rPr>
        <w:t>проект</w:t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формы </w:t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>сертификата участни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ка межгосударственной программы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A06EF5" w:rsidRPr="006B4F42">
        <w:rPr>
          <w:rFonts w:ascii="Arial" w:eastAsia="Times New Roman" w:hAnsi="Arial" w:cs="Arial"/>
          <w:b/>
          <w:sz w:val="24"/>
          <w:szCs w:val="24"/>
          <w:lang w:eastAsia="ru-RU"/>
        </w:rPr>
        <w:t>проверки квалификации</w:t>
      </w:r>
    </w:p>
    <w:p w:rsidR="00F24CEA" w:rsidRPr="006B4F42" w:rsidRDefault="00F24CEA" w:rsidP="00A06EF5">
      <w:pPr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9113"/>
        <w:gridCol w:w="5181"/>
      </w:tblGrid>
      <w:tr w:rsidR="00B57317" w:rsidRPr="006B4F42" w:rsidTr="00A35F0E">
        <w:trPr>
          <w:tblHeader/>
        </w:trPr>
        <w:tc>
          <w:tcPr>
            <w:tcW w:w="9113" w:type="dxa"/>
            <w:tcBorders>
              <w:bottom w:val="double" w:sz="4" w:space="0" w:color="auto"/>
            </w:tcBorders>
          </w:tcPr>
          <w:p w:rsidR="00B57317" w:rsidRPr="00F24CEA" w:rsidRDefault="00B57317" w:rsidP="00F24C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4CEA">
              <w:rPr>
                <w:rFonts w:ascii="Arial" w:hAnsi="Arial" w:cs="Arial"/>
                <w:b/>
                <w:sz w:val="24"/>
                <w:szCs w:val="24"/>
              </w:rPr>
              <w:t>Зам</w:t>
            </w:r>
            <w:r w:rsidR="00F24CEA">
              <w:rPr>
                <w:rFonts w:ascii="Arial" w:hAnsi="Arial" w:cs="Arial"/>
                <w:b/>
                <w:sz w:val="24"/>
                <w:szCs w:val="24"/>
              </w:rPr>
              <w:t>ечания и предложения</w:t>
            </w:r>
            <w:r w:rsidR="0045216D" w:rsidRPr="00F24CE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24CEA" w:rsidRPr="00F24CEA">
              <w:rPr>
                <w:rFonts w:ascii="Arial" w:hAnsi="Arial" w:cs="Arial"/>
                <w:b/>
                <w:sz w:val="24"/>
                <w:szCs w:val="24"/>
              </w:rPr>
              <w:t xml:space="preserve">национальных органов </w:t>
            </w:r>
          </w:p>
        </w:tc>
        <w:tc>
          <w:tcPr>
            <w:tcW w:w="5181" w:type="dxa"/>
            <w:tcBorders>
              <w:bottom w:val="double" w:sz="4" w:space="0" w:color="auto"/>
            </w:tcBorders>
          </w:tcPr>
          <w:p w:rsidR="00B57317" w:rsidRPr="006B4F42" w:rsidRDefault="00B57317" w:rsidP="00B729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F42">
              <w:rPr>
                <w:rFonts w:ascii="Arial" w:hAnsi="Arial" w:cs="Arial"/>
                <w:b/>
                <w:sz w:val="24"/>
                <w:szCs w:val="24"/>
              </w:rPr>
              <w:t>Заключение разработчика</w:t>
            </w:r>
          </w:p>
        </w:tc>
      </w:tr>
      <w:tr w:rsidR="00B57317" w:rsidRPr="006B4F42" w:rsidTr="00A35F0E">
        <w:tc>
          <w:tcPr>
            <w:tcW w:w="14294" w:type="dxa"/>
            <w:gridSpan w:val="2"/>
          </w:tcPr>
          <w:p w:rsidR="00B57317" w:rsidRPr="008B0070" w:rsidRDefault="00B57317" w:rsidP="008736F1">
            <w:pPr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Республика Армения</w:t>
            </w: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="006F0BD7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Мартиросян Г. Г.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ar-SA"/>
              </w:rPr>
              <w:t xml:space="preserve">Заведующий лабораторией ЗАО «Национальный институт метрологии»,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ar-SA"/>
              </w:rPr>
              <w:br/>
              <w:t>э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л. письмо от 25.10.2019, 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e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-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: 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ggmartirosyan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@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gmail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B57317" w:rsidRPr="006B4F42" w:rsidTr="00A35F0E">
        <w:tc>
          <w:tcPr>
            <w:tcW w:w="9113" w:type="dxa"/>
          </w:tcPr>
          <w:p w:rsidR="00B57317" w:rsidRPr="008B0070" w:rsidRDefault="00B57317" w:rsidP="00797580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Относительно проекта сертификата участника межгосударственной программы проверки квалификации возражений не имеется.</w:t>
            </w:r>
          </w:p>
        </w:tc>
        <w:tc>
          <w:tcPr>
            <w:tcW w:w="5181" w:type="dxa"/>
          </w:tcPr>
          <w:p w:rsidR="00B57317" w:rsidRPr="008B0070" w:rsidRDefault="00B57317" w:rsidP="00B729C2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6F25B2" w:rsidRPr="006B4F42" w:rsidTr="00A35F0E">
        <w:tc>
          <w:tcPr>
            <w:tcW w:w="14294" w:type="dxa"/>
            <w:gridSpan w:val="2"/>
          </w:tcPr>
          <w:p w:rsidR="006F25B2" w:rsidRPr="008B0070" w:rsidRDefault="006F25B2" w:rsidP="006D2DB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Республика Беларусь</w:t>
            </w: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Государственное предприятие «БГЦА»</w:t>
            </w:r>
            <w:r w:rsidR="006D2DB7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исх. №05-04/751 от 28.01.2020</w:t>
            </w:r>
          </w:p>
        </w:tc>
      </w:tr>
      <w:tr w:rsidR="006F25B2" w:rsidRPr="006B4F42" w:rsidTr="00A35F0E">
        <w:trPr>
          <w:trHeight w:val="410"/>
        </w:trPr>
        <w:tc>
          <w:tcPr>
            <w:tcW w:w="9113" w:type="dxa"/>
          </w:tcPr>
          <w:p w:rsidR="006F25B2" w:rsidRPr="008B0070" w:rsidRDefault="000960AB" w:rsidP="000960AB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Считаем нецелесообразным указание в сертификате участника общей характеристики функционирования по результатам прохождения тура программы проверки квалификацию, поскольку ключевой является информация о харакеристиках функционирования при определении конкретных показателей, которая представляется в отчете.</w:t>
            </w:r>
          </w:p>
        </w:tc>
        <w:tc>
          <w:tcPr>
            <w:tcW w:w="5181" w:type="dxa"/>
          </w:tcPr>
          <w:p w:rsidR="006F25B2" w:rsidRPr="008B0070" w:rsidRDefault="005465E9" w:rsidP="00AB6FA0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AB6FA0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F25B2" w:rsidRPr="006B4F42" w:rsidTr="00A35F0E">
        <w:trPr>
          <w:trHeight w:val="410"/>
        </w:trPr>
        <w:tc>
          <w:tcPr>
            <w:tcW w:w="9113" w:type="dxa"/>
          </w:tcPr>
          <w:p w:rsidR="006F25B2" w:rsidRPr="008B0070" w:rsidRDefault="000960AB" w:rsidP="005465E9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Графу «удостоверяет, что предприятие (лаборатория)» </w:t>
            </w:r>
            <w:r w:rsidR="005465E9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предлагаем изложить в редакции «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удос</w:t>
            </w:r>
            <w:r w:rsidR="005465E9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т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оверяет, что лаборатория (предприятие)», поскольку в проверках квалификации, как правило, участвует орган по оценке соответствия, входящий в состав предприятия.</w:t>
            </w:r>
          </w:p>
        </w:tc>
        <w:tc>
          <w:tcPr>
            <w:tcW w:w="5181" w:type="dxa"/>
          </w:tcPr>
          <w:p w:rsidR="006F25B2" w:rsidRPr="008B0070" w:rsidRDefault="005465E9" w:rsidP="005465E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В проект сертификата внесены изменения: «</w:t>
            </w:r>
            <w:r w:rsidRPr="008B0070">
              <w:rPr>
                <w:rFonts w:ascii="Arial" w:hAnsi="Arial" w:cs="Arial"/>
                <w:i/>
                <w:color w:val="000000" w:themeColor="text1"/>
                <w:sz w:val="24"/>
                <w:szCs w:val="24"/>
                <w:shd w:val="clear" w:color="auto" w:fill="FFFFFF"/>
              </w:rPr>
              <w:t>предприятие (лаборатория)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» заменены на «</w:t>
            </w:r>
            <w:r w:rsidRPr="008B0070">
              <w:rPr>
                <w:rFonts w:ascii="Arial" w:hAnsi="Arial" w:cs="Arial"/>
                <w:i/>
                <w:color w:val="000000" w:themeColor="text1"/>
                <w:sz w:val="24"/>
                <w:szCs w:val="24"/>
                <w:shd w:val="clear" w:color="auto" w:fill="FFFFFF"/>
              </w:rPr>
              <w:t>участник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» как это установлено в ISO/IEC 17043</w:t>
            </w:r>
            <w:r w:rsidR="005B6F8F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57317" w:rsidRPr="006B4F42" w:rsidTr="00A35F0E">
        <w:tc>
          <w:tcPr>
            <w:tcW w:w="14294" w:type="dxa"/>
            <w:gridSpan w:val="2"/>
          </w:tcPr>
          <w:p w:rsidR="00B57317" w:rsidRPr="008B0070" w:rsidRDefault="00B57317" w:rsidP="005E6D63">
            <w:pPr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Республика Беларусь</w:t>
            </w: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="006F0BD7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Найдёнова В. И.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начальник отдела БелГИМ, эл. письмо от 07.10.2019, 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e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-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: 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provider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@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belgim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by</w:t>
            </w:r>
          </w:p>
        </w:tc>
      </w:tr>
      <w:tr w:rsidR="000E33C6" w:rsidRPr="006B4F42" w:rsidTr="00A35F0E">
        <w:trPr>
          <w:trHeight w:val="1492"/>
        </w:trPr>
        <w:tc>
          <w:tcPr>
            <w:tcW w:w="9113" w:type="dxa"/>
          </w:tcPr>
          <w:p w:rsidR="000E33C6" w:rsidRPr="008B0070" w:rsidRDefault="000E33C6" w:rsidP="000E33C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Предлагаем исключить из формы общую оценку функционирования в %, и перенести ее в отчет. Такая оценка предполагает указывать количество и название измеряемых величин, т.о. сертификат будет перегружен информацией. В остальном поддерживаем предлагаемую форму.</w:t>
            </w:r>
          </w:p>
        </w:tc>
        <w:tc>
          <w:tcPr>
            <w:tcW w:w="5181" w:type="dxa"/>
          </w:tcPr>
          <w:p w:rsidR="000E33C6" w:rsidRPr="008B0070" w:rsidRDefault="000E33C6" w:rsidP="00AB6FA0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AB6FA0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8B0070" w:rsidRDefault="000E33C6" w:rsidP="006D2DB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Кыргызская Республика </w:t>
            </w: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Кыргызский центр аккредитации</w:t>
            </w:r>
            <w:r w:rsidR="000C2EE1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при Министерстве экономики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 исх. №01-11-787 от 21.10.2019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Исключить слова (при наличии) после слов «аттестата аккредитации», так как в процессе аккредитации органов по оценке соответствия, в основном используются поставщик программы проверки квалификации, который соответствует требованиям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/IEC 17043:2010 на основании политики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ILAC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P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9. Также в стандартах серии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17000 больше внедряются процессы оценки поставщиков продукции и услуг, влияющие на конечный результаты оценки соответсвия. Пример этому, международный стандарт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/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IEC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17025:2917 (раздел 6.6 Продукция и услуги, предоставляемые внешними поставщиками), который четко устанавливает перечень услуг, влиящих на лабораторную деятельность, включая проверку квалификации. Кроме этого, национальные органы по аккредитации государств-участников МГС стремятся на международное признание, для чего необходимо выполнять требования политик и процессов международных или региональных органов по аккредитации (гармонизированы требования).</w:t>
            </w:r>
          </w:p>
        </w:tc>
        <w:tc>
          <w:tcPr>
            <w:tcW w:w="5181" w:type="dxa"/>
          </w:tcPr>
          <w:p w:rsidR="000E33C6" w:rsidRPr="008B0070" w:rsidRDefault="000E33C6" w:rsidP="000E33C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1. Считаем целесообразным оставить в форме сертификата слова «при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наличии», относящиеся к аттестату аккредитации, поскольку ISO/IEC 17043 выдвигает требования компетентности провайдера, но не указывает на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необходимость его аккредитации.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После слова «предприятие» дополнить слово «организация» в целях исключения ограничений в связи с тем, что в государственных учреждениях/ организациях (которые не относятся к предприятию) имеются органы по оценке соответствия, включая лаборатории, органы контроля и др., которые участвуют в программах проверки квалификации. Также после слова «лаборатория» дополнить словом «орган по оценке соответствия с сокращением – ООС» с наблюдением растущей необходимости участия в проверках квалификации других работ по оценке соответствия, таких, как контроль (неразрушающий и др.) и сертификация продукции (см.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/IEC 17043:2010 раздел «введение»).</w:t>
            </w:r>
          </w:p>
        </w:tc>
        <w:tc>
          <w:tcPr>
            <w:tcW w:w="5181" w:type="dxa"/>
          </w:tcPr>
          <w:p w:rsidR="000E33C6" w:rsidRPr="008B0070" w:rsidRDefault="000E33C6" w:rsidP="000E33C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2. Считаем целесообразным в подстрочной надписи указать "наименование участника, адрес" как это установлено в ISO/IEC 17043.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pStyle w:val="a4"/>
              <w:ind w:left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3. По всему тексту проекта сертификата после слова «характеристики функционирования» дополнить словами «лаборатории/ООС».</w:t>
            </w:r>
          </w:p>
        </w:tc>
        <w:tc>
          <w:tcPr>
            <w:tcW w:w="5181" w:type="dxa"/>
          </w:tcPr>
          <w:p w:rsidR="000E33C6" w:rsidRPr="008B0070" w:rsidRDefault="000E33C6" w:rsidP="000E33C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3. Аналогично п. 2 предлагаем по тексту сертификата после слов «характеристики функционирования» дополнить словом «участника».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8B0070" w:rsidRDefault="000E33C6" w:rsidP="009A1E5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Республика Молдова</w:t>
            </w:r>
            <w:r w:rsidRPr="008B007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Шаповал</w:t>
            </w:r>
            <w:r w:rsidR="001A4273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Н</w:t>
            </w:r>
            <w:r w:rsidR="006F0BD7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 Я.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7234BF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Национальный центр по аккредитации</w:t>
            </w:r>
            <w:r w:rsidR="006F0BD7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MOLDAC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эл. письмо от 28.11.2019,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e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natalia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sapoval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@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moldac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gov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md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MOLDAC в основном согласен с содержанием проекта. Однако, считает, что информация относительно общей характеристики функционирования по результатам прохождения тура программы проверки квалификации (ссылка 3 в проекте) не должна указываться в сертификате. Все информация указываются в отчете.</w:t>
            </w:r>
          </w:p>
        </w:tc>
        <w:tc>
          <w:tcPr>
            <w:tcW w:w="5181" w:type="dxa"/>
          </w:tcPr>
          <w:p w:rsidR="000E33C6" w:rsidRPr="008B0070" w:rsidRDefault="000E33C6" w:rsidP="00045220">
            <w:pP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Общая оценка функционирования и</w:t>
            </w:r>
            <w:r w:rsidR="00045220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сключена из проекта сертификата</w:t>
            </w:r>
            <w:r w:rsidR="005B6F8F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8B0070" w:rsidRDefault="000E33C6" w:rsidP="000E33C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Российская Федерация</w:t>
            </w:r>
            <w:r w:rsidRPr="008B0070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Федеральная служба по аккредитации Российской Федерации, пись</w:t>
            </w:r>
            <w:r w:rsidR="005E6D63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мо исх. №24671-СВ от 23.10.2019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Целесообразно убрать в сертификате повторное указание провайдером наименования программы;</w:t>
            </w:r>
          </w:p>
          <w:p w:rsidR="000E33C6" w:rsidRPr="008B0070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Целесообразно внести в графу заполнения провайдером шифра программы пометку «При наличии» (так как не все провайдеры присваивают программам шифр).</w:t>
            </w:r>
          </w:p>
          <w:p w:rsidR="000E33C6" w:rsidRPr="008B0070" w:rsidRDefault="000E33C6" w:rsidP="000E33C6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Целесообразно в Приложении к сертификату указывать ссылку на документ, а не приводить выписку, как это предлагается в обозначенном проекте.</w:t>
            </w:r>
          </w:p>
        </w:tc>
        <w:tc>
          <w:tcPr>
            <w:tcW w:w="5181" w:type="dxa"/>
          </w:tcPr>
          <w:p w:rsidR="000E33C6" w:rsidRPr="008B0070" w:rsidRDefault="000E33C6" w:rsidP="005E6D63">
            <w:pPr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Согласны с пп. 1 и 2. Что касается п. 3, нам не совсем понятно, какое приложение к сертификату Вы имели ввиду, поскольку нашей формой не предусмотрены приложения к сертификату. В представленных нами на рассмотрение материалах 2-я и 3-я страницы - это разъяснения по заполнению сертификата, но не приложение к нему.</w:t>
            </w:r>
          </w:p>
        </w:tc>
      </w:tr>
      <w:tr w:rsidR="000E33C6" w:rsidRPr="006B4F42" w:rsidTr="00A35F0E">
        <w:tc>
          <w:tcPr>
            <w:tcW w:w="14294" w:type="dxa"/>
            <w:gridSpan w:val="2"/>
          </w:tcPr>
          <w:p w:rsidR="000E33C6" w:rsidRPr="008B0070" w:rsidRDefault="000E33C6" w:rsidP="00D161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Федеральное агентство по техническому регулированию и метрологии</w:t>
            </w:r>
            <w:r w:rsidR="00D16120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D16120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Российской Федерации</w:t>
            </w:r>
            <w:r w:rsidR="00D16120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(ФГУП «УНИИМ»), письмо исх. №222-3.1/144 от 15.01.2020</w:t>
            </w:r>
          </w:p>
        </w:tc>
      </w:tr>
      <w:tr w:rsidR="000E33C6" w:rsidRPr="006B4F42" w:rsidTr="00A35F0E">
        <w:tc>
          <w:tcPr>
            <w:tcW w:w="9113" w:type="dxa"/>
          </w:tcPr>
          <w:p w:rsidR="000E33C6" w:rsidRPr="008B0070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1. По термину «межлабораторные сличения»:</w:t>
            </w:r>
          </w:p>
          <w:p w:rsidR="000E33C6" w:rsidRPr="008B0070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Согласно положениям РМГ 134-2015 «Проверка квалификации лабораторий посредством межгосударственных межлабораторных сравнительных испытаний. Планирование и организация», в соответствии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с которыми формируются межгосударственной программы проверки квалификации, наряду с термином «межлабораторные сличения» допустимо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использование идентичных терминов «межлабораторные сравнительные испытания», «межлабораторные сличительные испытания». </w:t>
            </w:r>
          </w:p>
          <w:p w:rsidR="000E33C6" w:rsidRPr="008B0070" w:rsidRDefault="000E33C6" w:rsidP="000E33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Считаем целесообразным к словам «...межлабораторных сличений» сделать сноску, указав другие возможные в странах термины: «межлабораторные сравнительные испытания», «межлабораторные сличительные испытания». </w:t>
            </w:r>
          </w:p>
        </w:tc>
        <w:tc>
          <w:tcPr>
            <w:tcW w:w="5181" w:type="dxa"/>
          </w:tcPr>
          <w:p w:rsidR="000E33C6" w:rsidRPr="008B0070" w:rsidRDefault="007A7845" w:rsidP="005E7E95">
            <w:pP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Соответствующие изменения внесены</w:t>
            </w:r>
            <w:r w:rsidR="005E7E95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2. По термину «тур программы проверки квалификации»: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 соответствии с ГОСТ ISO/IEC 17043-2013 «Оценка соответствия. Основные требования к проведению проверки квалификации» вместо термина «тур программы проверки квалификации» определен термин «тур проверки квалификации». Кроме того, в Российской Федерации используют термин «раунд проверки квалификации». 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Предлагаем слова «тур программы проверки квалификации» заменить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на «тур проверки квалификации», при этом к указанным словам сделать сноску, отразив другой возможный в странах термин: «раунд проверки квалификации».</w:t>
            </w:r>
          </w:p>
        </w:tc>
        <w:tc>
          <w:tcPr>
            <w:tcW w:w="5181" w:type="dxa"/>
          </w:tcPr>
          <w:p w:rsidR="007A7845" w:rsidRPr="008B0070" w:rsidRDefault="007A7845" w:rsidP="005E7E95">
            <w:pP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Соответствующие изменения внесены</w:t>
            </w:r>
            <w:r w:rsidR="005E7E95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 По разделу «Общая оценка характеристик функционирования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по результатам прохождения тура программы проверки квалификации»: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соответствие с ГОСТ ISO/IEC 17025-2019 (ISO/IEC 17025:2017) «Общие требования к компетентности испытательных и калибровочных лабораторий» предусматривается использование межлабораторных сличений (далее - МСИ) для целей мониторинга достоверности результатов испытаний (измерений). Мониторинг можно проводить по отдельным методам, показателям, по которым характеризуется уровень квалификации лаборатории в отношении этих методов и объектов (показателей).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Одноразовое участие в МСИ, согласно Политики ILAC, не говорит в целом о компетентности лаборатории (это может быть случай как положительного,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так и отрицательного участия в проверке квалификации).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Для мониторинга важно выявить тенденцию, она может касаться: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- отдельных элементов проверки (методов, объектов, показателей);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- лаборатории в целом (в том числе в виде %), в данном случае очень трудно квалифицировать комплексно при разных процентах, получаемых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по разным программам и разным объектам.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Кроме того, лаборатория может измерять не все показатели, реализуемые в программе, и может получить 100 % удовлетворительных результатов,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а другая, измеряющая все показатели - например, 80 %. Таким образом, такая оценка не позволяет даже сравнить качество результатов измерений двух лабораторий по одному туру программы.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На основании изложенного, указывать «общую оценку характеристик функционирования по результатам прохождения тура программы проверки квалификации» не считаем оправданным. </w:t>
            </w:r>
          </w:p>
        </w:tc>
        <w:tc>
          <w:tcPr>
            <w:tcW w:w="5181" w:type="dxa"/>
          </w:tcPr>
          <w:p w:rsidR="007A7845" w:rsidRPr="008B0070" w:rsidRDefault="007A7845" w:rsidP="0038343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Общая оценка функционирования исключена из проекта сертификата.</w:t>
            </w:r>
          </w:p>
        </w:tc>
      </w:tr>
      <w:tr w:rsidR="007A7845" w:rsidRPr="006B4F42" w:rsidTr="00797580">
        <w:trPr>
          <w:trHeight w:val="5264"/>
        </w:trPr>
        <w:tc>
          <w:tcPr>
            <w:tcW w:w="9113" w:type="dxa"/>
          </w:tcPr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4. По сноске 3: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соответствии с ГОСТ ISO/IEC 17043-2013, п. 3.10 тур проверки квалификации обязательно включает в себя «предоставление отчета о результатах проверки квалификации участникам», в котором отражают используемые критерии.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Кроме того: 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стандарт допускает использование и других критериев, не только указанных в сноске 3; 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- в одном туре проверки квалификации для разных показателей могут использоваться разные критерии.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На основании изложенного, считаем нецелесообразным приведение критериев в Сертификате, критерии должны быть изложены в отчете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о результатах проверки квалификации.</w:t>
            </w:r>
          </w:p>
          <w:p w:rsidR="007A7845" w:rsidRPr="008B0070" w:rsidRDefault="007A7845" w:rsidP="00797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Таким образом, Сертификат участника межгосударственной программы проверки квалификации может выполнять только одну функцию: информирование заинтересованных сторон об участии лаборатории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в межгосударственной программе проверки квалификации, реализуемой 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на территории СНГ, и содержать только эту информацию.</w:t>
            </w:r>
          </w:p>
        </w:tc>
        <w:tc>
          <w:tcPr>
            <w:tcW w:w="5181" w:type="dxa"/>
          </w:tcPr>
          <w:p w:rsidR="007A7845" w:rsidRPr="008B0070" w:rsidRDefault="007A7845" w:rsidP="009A127F">
            <w:pP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Соответствующие изменения внесены</w:t>
            </w:r>
            <w:r w:rsidR="009A127F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7845" w:rsidRPr="006B4F42" w:rsidTr="00A35F0E">
        <w:tc>
          <w:tcPr>
            <w:tcW w:w="14294" w:type="dxa"/>
            <w:gridSpan w:val="2"/>
          </w:tcPr>
          <w:p w:rsidR="007A7845" w:rsidRPr="008B0070" w:rsidRDefault="007A7845" w:rsidP="00D56FAE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lastRenderedPageBreak/>
              <w:t>Республика Узбекистан</w:t>
            </w:r>
            <w:r w:rsidRPr="008B0070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br/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ar-SA"/>
              </w:rPr>
              <w:t>Агентство «Узстандарт»,</w:t>
            </w:r>
            <w:r w:rsidR="00A6654D"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ar-SA"/>
              </w:rPr>
              <w:t xml:space="preserve"> письмо</w:t>
            </w:r>
            <w:r w:rsidRPr="008B007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D56FAE" w:rsidRPr="008B007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исх. №01/6412 от 27.12.2019</w:t>
            </w:r>
          </w:p>
        </w:tc>
      </w:tr>
      <w:tr w:rsidR="007A7845" w:rsidRPr="006B4F42" w:rsidTr="00A35F0E">
        <w:tc>
          <w:tcPr>
            <w:tcW w:w="9113" w:type="dxa"/>
          </w:tcPr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соответствии с пунктом 10.5 РМГ 103-2010 «Государственная система обеспечения единства измерений. Проверка квалификации испытательных (измерительных) лабораторий» провайдер оформляет документы по результатам участия ИЛ в МСИ с указанием результатов оценки измерительных возможностей лаборатории. Рекомендуемые формы документов, оформляемых в случае подтверждения ИЛ своих измерительных возможностей, приведены в приложениях С и Т РМГ 103-2010. Также, согласно пункта 10.6 вышеуказанного документа провайдер направляет в каждую ИЛ соответствующие свидетельства об участии в МСИ.</w:t>
            </w:r>
          </w:p>
          <w:p w:rsidR="007A7845" w:rsidRPr="008B0070" w:rsidRDefault="007A7845" w:rsidP="007A784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</w:rPr>
              <w:t>Учитывая вышеуказанное, рекомендуем слово «сертификат» заменить на «свидетельство».</w:t>
            </w:r>
          </w:p>
        </w:tc>
        <w:tc>
          <w:tcPr>
            <w:tcW w:w="5181" w:type="dxa"/>
          </w:tcPr>
          <w:p w:rsidR="007A7845" w:rsidRPr="008B0070" w:rsidRDefault="007A7845" w:rsidP="009A127F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Certificate – сертификат, удостоверение, свидетельство – понятие, которое используется большинством провайдеров, осущ</w:t>
            </w:r>
            <w:r w:rsidR="00AA78F4"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ествляющих</w:t>
            </w:r>
            <w:r w:rsidRPr="008B007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деятельность согласно ISO/IEC 17043.</w:t>
            </w:r>
          </w:p>
        </w:tc>
      </w:tr>
    </w:tbl>
    <w:p w:rsidR="002A7431" w:rsidRPr="006B4F42" w:rsidRDefault="00095797">
      <w:pPr>
        <w:rPr>
          <w:rFonts w:ascii="Arial" w:hAnsi="Arial" w:cs="Arial"/>
          <w:sz w:val="24"/>
          <w:szCs w:val="24"/>
        </w:rPr>
      </w:pPr>
    </w:p>
    <w:sectPr w:rsidR="002A7431" w:rsidRPr="006B4F42" w:rsidSect="006B7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797" w:rsidRDefault="00095797" w:rsidP="00E02DF5">
      <w:pPr>
        <w:spacing w:after="0" w:line="240" w:lineRule="auto"/>
      </w:pPr>
      <w:r>
        <w:separator/>
      </w:r>
    </w:p>
  </w:endnote>
  <w:endnote w:type="continuationSeparator" w:id="0">
    <w:p w:rsidR="00095797" w:rsidRDefault="00095797" w:rsidP="00E02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FE2" w:rsidRDefault="006B7FE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6767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bookmarkStart w:id="0" w:name="_GoBack" w:displacedByCustomXml="prev"/>
      <w:bookmarkEnd w:id="0" w:displacedByCustomXml="prev"/>
      <w:p w:rsidR="00034224" w:rsidRPr="005B451F" w:rsidRDefault="00034224">
        <w:pPr>
          <w:pStyle w:val="a8"/>
          <w:jc w:val="right"/>
          <w:rPr>
            <w:rFonts w:ascii="Arial" w:hAnsi="Arial" w:cs="Arial"/>
            <w:sz w:val="24"/>
            <w:szCs w:val="24"/>
          </w:rPr>
        </w:pPr>
        <w:r w:rsidRPr="005B451F">
          <w:rPr>
            <w:rFonts w:ascii="Arial" w:hAnsi="Arial" w:cs="Arial"/>
            <w:sz w:val="24"/>
            <w:szCs w:val="24"/>
          </w:rPr>
          <w:fldChar w:fldCharType="begin"/>
        </w:r>
        <w:r w:rsidRPr="005B451F">
          <w:rPr>
            <w:rFonts w:ascii="Arial" w:hAnsi="Arial" w:cs="Arial"/>
            <w:sz w:val="24"/>
            <w:szCs w:val="24"/>
          </w:rPr>
          <w:instrText>PAGE   \* MERGEFORMAT</w:instrText>
        </w:r>
        <w:r w:rsidRPr="005B451F">
          <w:rPr>
            <w:rFonts w:ascii="Arial" w:hAnsi="Arial" w:cs="Arial"/>
            <w:sz w:val="24"/>
            <w:szCs w:val="24"/>
          </w:rPr>
          <w:fldChar w:fldCharType="separate"/>
        </w:r>
        <w:r w:rsidR="006B7FE2">
          <w:rPr>
            <w:rFonts w:ascii="Arial" w:hAnsi="Arial" w:cs="Arial"/>
            <w:noProof/>
            <w:sz w:val="24"/>
            <w:szCs w:val="24"/>
          </w:rPr>
          <w:t>4</w:t>
        </w:r>
        <w:r w:rsidRPr="005B451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34224" w:rsidRDefault="0003422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FE2" w:rsidRDefault="006B7F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797" w:rsidRDefault="00095797" w:rsidP="00E02DF5">
      <w:pPr>
        <w:spacing w:after="0" w:line="240" w:lineRule="auto"/>
      </w:pPr>
      <w:r>
        <w:separator/>
      </w:r>
    </w:p>
  </w:footnote>
  <w:footnote w:type="continuationSeparator" w:id="0">
    <w:p w:rsidR="00095797" w:rsidRDefault="00095797" w:rsidP="00E02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FE2" w:rsidRDefault="006B7F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F5" w:rsidRPr="00E02DF5" w:rsidRDefault="00E02DF5" w:rsidP="003244B6">
    <w:pPr>
      <w:widowControl w:val="0"/>
      <w:spacing w:after="0" w:line="240" w:lineRule="auto"/>
      <w:ind w:firstLine="9923"/>
      <w:jc w:val="center"/>
      <w:rPr>
        <w:rFonts w:ascii="Arial" w:eastAsia="Arial" w:hAnsi="Arial" w:cs="Arial"/>
        <w:bCs/>
        <w:spacing w:val="2"/>
        <w:sz w:val="24"/>
        <w:szCs w:val="24"/>
      </w:rPr>
    </w:pPr>
    <w:r w:rsidRPr="00E02DF5">
      <w:rPr>
        <w:rFonts w:ascii="Arial" w:eastAsia="Arial" w:hAnsi="Arial" w:cs="Arial"/>
        <w:bCs/>
        <w:sz w:val="24"/>
        <w:szCs w:val="24"/>
      </w:rPr>
      <w:t>Приложение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Pr="00E02DF5">
      <w:rPr>
        <w:rFonts w:ascii="Arial" w:eastAsia="Arial" w:hAnsi="Arial" w:cs="Arial"/>
        <w:bCs/>
        <w:sz w:val="24"/>
        <w:szCs w:val="24"/>
      </w:rPr>
      <w:t>№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="003244B6">
      <w:rPr>
        <w:rFonts w:ascii="Arial" w:eastAsia="Arial" w:hAnsi="Arial" w:cs="Arial"/>
        <w:bCs/>
        <w:spacing w:val="2"/>
        <w:sz w:val="24"/>
        <w:szCs w:val="24"/>
      </w:rPr>
      <w:t>17</w:t>
    </w:r>
  </w:p>
  <w:p w:rsidR="00E02DF5" w:rsidRPr="00E02DF5" w:rsidRDefault="00E02DF5" w:rsidP="00E02DF5">
    <w:pPr>
      <w:widowControl w:val="0"/>
      <w:spacing w:before="50" w:after="0" w:line="240" w:lineRule="auto"/>
      <w:ind w:firstLine="5670"/>
      <w:jc w:val="right"/>
      <w:rPr>
        <w:rFonts w:ascii="Arial" w:eastAsia="Arial" w:hAnsi="Arial" w:cs="Arial"/>
        <w:bCs/>
        <w:spacing w:val="2"/>
        <w:sz w:val="24"/>
        <w:szCs w:val="24"/>
      </w:rPr>
    </w:pPr>
    <w:r w:rsidRPr="00E02DF5">
      <w:rPr>
        <w:rFonts w:ascii="Arial" w:eastAsia="Arial" w:hAnsi="Arial" w:cs="Arial"/>
        <w:bCs/>
        <w:sz w:val="24"/>
        <w:szCs w:val="24"/>
      </w:rPr>
      <w:t>к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 </w:t>
    </w:r>
    <w:r w:rsidRPr="00E02DF5">
      <w:rPr>
        <w:rFonts w:ascii="Arial" w:eastAsia="Arial" w:hAnsi="Arial" w:cs="Arial"/>
        <w:bCs/>
        <w:sz w:val="24"/>
        <w:szCs w:val="24"/>
      </w:rPr>
      <w:t xml:space="preserve">протоколу </w:t>
    </w:r>
    <w:r w:rsidRPr="00E02DF5">
      <w:rPr>
        <w:rFonts w:ascii="Arial" w:eastAsia="Arial" w:hAnsi="Arial" w:cs="Arial"/>
        <w:bCs/>
        <w:spacing w:val="2"/>
        <w:sz w:val="24"/>
        <w:szCs w:val="24"/>
      </w:rPr>
      <w:t xml:space="preserve">НТКМетр </w:t>
    </w:r>
    <w:r w:rsidR="003244B6">
      <w:rPr>
        <w:rFonts w:ascii="Arial" w:eastAsia="Arial" w:hAnsi="Arial" w:cs="Arial"/>
        <w:bCs/>
        <w:sz w:val="24"/>
        <w:szCs w:val="24"/>
      </w:rPr>
      <w:t>№52</w:t>
    </w:r>
    <w:r w:rsidRPr="005B451F">
      <w:rPr>
        <w:rFonts w:ascii="Arial" w:eastAsia="Arial" w:hAnsi="Arial" w:cs="Arial"/>
        <w:bCs/>
        <w:spacing w:val="1"/>
        <w:sz w:val="24"/>
        <w:szCs w:val="24"/>
      </w:rPr>
      <w:t>-2020</w:t>
    </w:r>
  </w:p>
  <w:p w:rsidR="00E02DF5" w:rsidRPr="005B451F" w:rsidRDefault="00E02DF5">
    <w:pPr>
      <w:pStyle w:val="a6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FE2" w:rsidRDefault="006B7F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8740A"/>
    <w:multiLevelType w:val="hybridMultilevel"/>
    <w:tmpl w:val="E8EC4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B13EE"/>
    <w:multiLevelType w:val="hybridMultilevel"/>
    <w:tmpl w:val="A30CA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F742B"/>
    <w:multiLevelType w:val="hybridMultilevel"/>
    <w:tmpl w:val="D4B47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A73A1"/>
    <w:multiLevelType w:val="hybridMultilevel"/>
    <w:tmpl w:val="703287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641FC"/>
    <w:multiLevelType w:val="hybridMultilevel"/>
    <w:tmpl w:val="9EA24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315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1A"/>
    <w:rsid w:val="00013AC3"/>
    <w:rsid w:val="0001768F"/>
    <w:rsid w:val="00034224"/>
    <w:rsid w:val="00045220"/>
    <w:rsid w:val="000737C1"/>
    <w:rsid w:val="00095797"/>
    <w:rsid w:val="000960AB"/>
    <w:rsid w:val="000A3DAB"/>
    <w:rsid w:val="000A4374"/>
    <w:rsid w:val="000C2EE1"/>
    <w:rsid w:val="000E33C6"/>
    <w:rsid w:val="000F3757"/>
    <w:rsid w:val="00113740"/>
    <w:rsid w:val="001A4273"/>
    <w:rsid w:val="001B363C"/>
    <w:rsid w:val="001F485C"/>
    <w:rsid w:val="002050B3"/>
    <w:rsid w:val="00212162"/>
    <w:rsid w:val="0022102C"/>
    <w:rsid w:val="0022465F"/>
    <w:rsid w:val="00233DA4"/>
    <w:rsid w:val="002442AB"/>
    <w:rsid w:val="002F5922"/>
    <w:rsid w:val="003244B6"/>
    <w:rsid w:val="00381CA4"/>
    <w:rsid w:val="00383439"/>
    <w:rsid w:val="003B7100"/>
    <w:rsid w:val="003D1AC8"/>
    <w:rsid w:val="004122E1"/>
    <w:rsid w:val="00434E4A"/>
    <w:rsid w:val="0045216D"/>
    <w:rsid w:val="00454B06"/>
    <w:rsid w:val="005465E9"/>
    <w:rsid w:val="00593DC0"/>
    <w:rsid w:val="005979A8"/>
    <w:rsid w:val="005B451F"/>
    <w:rsid w:val="005B6F8F"/>
    <w:rsid w:val="005D0383"/>
    <w:rsid w:val="005E6D63"/>
    <w:rsid w:val="005E7E95"/>
    <w:rsid w:val="00635878"/>
    <w:rsid w:val="006B4F42"/>
    <w:rsid w:val="006B7FE2"/>
    <w:rsid w:val="006D2DB7"/>
    <w:rsid w:val="006F0BD7"/>
    <w:rsid w:val="006F25B2"/>
    <w:rsid w:val="006F3B87"/>
    <w:rsid w:val="007234BF"/>
    <w:rsid w:val="0073538B"/>
    <w:rsid w:val="00797580"/>
    <w:rsid w:val="007A352F"/>
    <w:rsid w:val="007A7845"/>
    <w:rsid w:val="007E6E81"/>
    <w:rsid w:val="00851822"/>
    <w:rsid w:val="00857858"/>
    <w:rsid w:val="008736F1"/>
    <w:rsid w:val="00887E81"/>
    <w:rsid w:val="008B0070"/>
    <w:rsid w:val="0090364A"/>
    <w:rsid w:val="00953EF9"/>
    <w:rsid w:val="009A127F"/>
    <w:rsid w:val="009A1E57"/>
    <w:rsid w:val="009B2358"/>
    <w:rsid w:val="009D7950"/>
    <w:rsid w:val="00A06EF5"/>
    <w:rsid w:val="00A35F0E"/>
    <w:rsid w:val="00A44376"/>
    <w:rsid w:val="00A6654D"/>
    <w:rsid w:val="00A74FF7"/>
    <w:rsid w:val="00AA78F4"/>
    <w:rsid w:val="00AB6FA0"/>
    <w:rsid w:val="00AC53DF"/>
    <w:rsid w:val="00B57317"/>
    <w:rsid w:val="00B729C2"/>
    <w:rsid w:val="00B800E5"/>
    <w:rsid w:val="00B85644"/>
    <w:rsid w:val="00B85D4D"/>
    <w:rsid w:val="00BC1DDC"/>
    <w:rsid w:val="00BE18F3"/>
    <w:rsid w:val="00CA5E85"/>
    <w:rsid w:val="00CE2936"/>
    <w:rsid w:val="00CF7500"/>
    <w:rsid w:val="00CF7E68"/>
    <w:rsid w:val="00D11121"/>
    <w:rsid w:val="00D151E2"/>
    <w:rsid w:val="00D16120"/>
    <w:rsid w:val="00D47358"/>
    <w:rsid w:val="00D56FAE"/>
    <w:rsid w:val="00D95BB2"/>
    <w:rsid w:val="00DB58F6"/>
    <w:rsid w:val="00DB5B89"/>
    <w:rsid w:val="00DD2CE9"/>
    <w:rsid w:val="00E02DF5"/>
    <w:rsid w:val="00E14EB1"/>
    <w:rsid w:val="00E82383"/>
    <w:rsid w:val="00E94073"/>
    <w:rsid w:val="00EB58AD"/>
    <w:rsid w:val="00ED1929"/>
    <w:rsid w:val="00EE1527"/>
    <w:rsid w:val="00EF09D3"/>
    <w:rsid w:val="00F00FAC"/>
    <w:rsid w:val="00F24CEA"/>
    <w:rsid w:val="00F3681F"/>
    <w:rsid w:val="00F87B1A"/>
    <w:rsid w:val="00FE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94BB0-4EB9-4210-9C10-E85B68C5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85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8564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02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DF5"/>
  </w:style>
  <w:style w:type="paragraph" w:styleId="a8">
    <w:name w:val="footer"/>
    <w:basedOn w:val="a"/>
    <w:link w:val="a9"/>
    <w:uiPriority w:val="99"/>
    <w:unhideWhenUsed/>
    <w:rsid w:val="00E02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78D77-0603-4043-91B3-1D1AEF44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36</cp:revision>
  <dcterms:created xsi:type="dcterms:W3CDTF">2020-03-16T14:07:00Z</dcterms:created>
  <dcterms:modified xsi:type="dcterms:W3CDTF">2020-11-04T14:32:00Z</dcterms:modified>
</cp:coreProperties>
</file>